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345FF" w:rsidRDefault="008345FF">
      <w:pPr>
        <w:spacing w:before="2" w:line="180" w:lineRule="exact"/>
        <w:rPr>
          <w:sz w:val="19"/>
          <w:szCs w:val="19"/>
        </w:rPr>
      </w:pPr>
      <w:bookmarkStart w:id="0" w:name="_GoBack"/>
      <w:bookmarkEnd w:id="0"/>
    </w:p>
    <w:p w:rsidR="008345FF" w:rsidRDefault="008345FF">
      <w:pPr>
        <w:spacing w:line="200" w:lineRule="exact"/>
      </w:pPr>
    </w:p>
    <w:p w:rsidR="008345FF" w:rsidRDefault="008345FF">
      <w:pPr>
        <w:spacing w:line="200" w:lineRule="exact"/>
      </w:pPr>
    </w:p>
    <w:p w:rsidR="008345FF" w:rsidRDefault="008345FF">
      <w:pPr>
        <w:spacing w:line="200" w:lineRule="exact"/>
      </w:pPr>
    </w:p>
    <w:p w:rsidR="008345FF" w:rsidRDefault="004D2507">
      <w:pPr>
        <w:spacing w:line="420" w:lineRule="exact"/>
        <w:ind w:left="120"/>
        <w:rPr>
          <w:rFonts w:ascii="Calibri" w:eastAsia="Calibri" w:hAnsi="Calibri" w:cs="Calibri"/>
          <w:sz w:val="36"/>
          <w:szCs w:val="36"/>
        </w:rPr>
      </w:pPr>
      <w:r>
        <w:pict>
          <v:group id="_x0000_s1026" style="position:absolute;left:0;text-align:left;margin-left:70.55pt;margin-top:26.3pt;width:470.85pt;height:0;z-index:-251658240;mso-position-horizontal-relative:page" coordorigin="1411,527" coordsize="9418,0">
            <v:polyline id="_x0000_s1027" style="position:absolute" points="2822,1054,12240,1054" coordorigin="1411,527" coordsize="9418,0" filled="f" strokeweight="1.54pt">
              <v:path arrowok="t"/>
            </v:polyline>
            <w10:wrap anchorx="page"/>
          </v:group>
        </w:pict>
      </w:r>
      <w:proofErr w:type="spellStart"/>
      <w:r>
        <w:rPr>
          <w:rFonts w:ascii="Calibri" w:eastAsia="Calibri" w:hAnsi="Calibri" w:cs="Calibri"/>
          <w:b/>
          <w:position w:val="1"/>
          <w:sz w:val="36"/>
          <w:szCs w:val="36"/>
        </w:rPr>
        <w:t>Cybersecurity</w:t>
      </w:r>
      <w:proofErr w:type="spellEnd"/>
      <w:r>
        <w:rPr>
          <w:rFonts w:ascii="Calibri" w:eastAsia="Calibri" w:hAnsi="Calibri" w:cs="Calibri"/>
          <w:b/>
          <w:position w:val="1"/>
          <w:sz w:val="36"/>
          <w:szCs w:val="36"/>
        </w:rPr>
        <w:t xml:space="preserve"> Fundamentals Online Course</w:t>
      </w:r>
    </w:p>
    <w:p w:rsidR="008345FF" w:rsidRDefault="008345FF">
      <w:pPr>
        <w:spacing w:before="6" w:line="100" w:lineRule="exact"/>
        <w:rPr>
          <w:sz w:val="11"/>
          <w:szCs w:val="11"/>
        </w:rPr>
      </w:pPr>
    </w:p>
    <w:p w:rsidR="008345FF" w:rsidRDefault="008345FF">
      <w:pPr>
        <w:spacing w:line="200" w:lineRule="exact"/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Description</w:t>
      </w:r>
    </w:p>
    <w:p w:rsidR="008345FF" w:rsidRDefault="008345FF">
      <w:pPr>
        <w:spacing w:before="18" w:line="220" w:lineRule="exact"/>
        <w:rPr>
          <w:sz w:val="22"/>
          <w:szCs w:val="22"/>
        </w:rPr>
      </w:pPr>
    </w:p>
    <w:p w:rsidR="008345FF" w:rsidRDefault="004D2507">
      <w:pPr>
        <w:spacing w:line="276" w:lineRule="auto"/>
        <w:ind w:left="120" w:right="6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Fundamentals Online Course will provide learners with principles of data and</w:t>
      </w:r>
      <w:r>
        <w:rPr>
          <w:rFonts w:ascii="Calibri" w:eastAsia="Calibri" w:hAnsi="Calibri" w:cs="Calibri"/>
          <w:sz w:val="22"/>
          <w:szCs w:val="22"/>
        </w:rPr>
        <w:t xml:space="preserve"> technology that frame and define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Learners will gain insight into the importance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the integral role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professionals. The interactive, self-guided format will provide a dynamic learning experience where user</w:t>
      </w:r>
      <w:r>
        <w:rPr>
          <w:rFonts w:ascii="Calibri" w:eastAsia="Calibri" w:hAnsi="Calibri" w:cs="Calibri"/>
          <w:sz w:val="22"/>
          <w:szCs w:val="22"/>
        </w:rPr>
        <w:t xml:space="preserve">s can explore foundational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principles, security architecture, risk management, attacks, incidents, and emerging IT and IS technologies.</w:t>
      </w:r>
    </w:p>
    <w:p w:rsidR="008345FF" w:rsidRDefault="008345FF">
      <w:pPr>
        <w:spacing w:before="7" w:line="200" w:lineRule="exact"/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Learning Objectives:</w:t>
      </w:r>
    </w:p>
    <w:p w:rsidR="008345FF" w:rsidRDefault="008345FF">
      <w:pPr>
        <w:spacing w:before="18" w:line="220" w:lineRule="exact"/>
        <w:rPr>
          <w:sz w:val="22"/>
          <w:szCs w:val="22"/>
        </w:rPr>
      </w:pPr>
    </w:p>
    <w:p w:rsidR="008345FF" w:rsidRDefault="004D250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Explain the core information assurance (IA) principles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Identify the key c</w:t>
      </w:r>
      <w:r>
        <w:rPr>
          <w:rFonts w:ascii="Calibri" w:eastAsia="Calibri" w:hAnsi="Calibri" w:cs="Calibri"/>
          <w:sz w:val="22"/>
          <w:szCs w:val="22"/>
        </w:rPr>
        <w:t xml:space="preserve">omponents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network architecture</w:t>
      </w:r>
    </w:p>
    <w:p w:rsidR="008345FF" w:rsidRDefault="004D2507">
      <w:pPr>
        <w:spacing w:before="38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Apply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architecture principles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Describe risk management processes and practices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Identify security tools and hardening techniques</w:t>
      </w:r>
    </w:p>
    <w:p w:rsidR="008345FF" w:rsidRDefault="004D2507">
      <w:pPr>
        <w:spacing w:before="38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Distinguish system and application security threats and vulnerabilities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Describe different classes of attacks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Define types of incidents including categories, responses and timelines for response</w:t>
      </w:r>
    </w:p>
    <w:p w:rsidR="008345FF" w:rsidRDefault="004D2507">
      <w:pPr>
        <w:spacing w:before="38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Describe new and emerging IT and IS technologies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Analyze threats and risks within context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architecture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Appraise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incidents to apply appropriate response</w:t>
      </w:r>
    </w:p>
    <w:p w:rsidR="008345FF" w:rsidRDefault="004D2507">
      <w:pPr>
        <w:spacing w:before="38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Evaluate </w:t>
      </w:r>
      <w:proofErr w:type="gramStart"/>
      <w:r>
        <w:rPr>
          <w:rFonts w:ascii="Calibri" w:eastAsia="Calibri" w:hAnsi="Calibri" w:cs="Calibri"/>
          <w:sz w:val="22"/>
          <w:szCs w:val="22"/>
        </w:rPr>
        <w:t>decision making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outcomes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sce</w:t>
      </w:r>
      <w:r>
        <w:rPr>
          <w:rFonts w:ascii="Calibri" w:eastAsia="Calibri" w:hAnsi="Calibri" w:cs="Calibri"/>
          <w:sz w:val="22"/>
          <w:szCs w:val="22"/>
        </w:rPr>
        <w:t>narios</w:t>
      </w:r>
    </w:p>
    <w:p w:rsidR="008345FF" w:rsidRDefault="004D2507">
      <w:pPr>
        <w:spacing w:before="41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w w:val="99"/>
        </w:rPr>
        <w:t>•</w:t>
      </w:r>
      <w:r>
        <w:rPr>
          <w:rFonts w:ascii="Verdana" w:eastAsia="Verdana" w:hAnsi="Verdana" w:cs="Verdana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Access additional external resources to supplement knowledge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</w:p>
    <w:p w:rsidR="008345FF" w:rsidRDefault="008345FF">
      <w:pPr>
        <w:spacing w:before="1" w:line="140" w:lineRule="exact"/>
        <w:rPr>
          <w:sz w:val="15"/>
          <w:szCs w:val="15"/>
        </w:rPr>
      </w:pPr>
    </w:p>
    <w:p w:rsidR="008345FF" w:rsidRDefault="008345FF">
      <w:pPr>
        <w:spacing w:line="200" w:lineRule="exact"/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Note</w:t>
      </w:r>
    </w:p>
    <w:p w:rsidR="008345FF" w:rsidRDefault="008345FF">
      <w:pPr>
        <w:spacing w:before="18" w:line="220" w:lineRule="exact"/>
        <w:rPr>
          <w:sz w:val="22"/>
          <w:szCs w:val="22"/>
        </w:rPr>
      </w:pPr>
    </w:p>
    <w:p w:rsidR="008345FF" w:rsidRDefault="004D2507">
      <w:pPr>
        <w:spacing w:line="277" w:lineRule="auto"/>
        <w:ind w:left="120" w:right="7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course is not designed to cover all knowledge areas that will be tested in the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Fundamentals Certificate Exam. Therefore, it is recommended </w:t>
      </w:r>
      <w:r>
        <w:rPr>
          <w:rFonts w:ascii="Calibri" w:eastAsia="Calibri" w:hAnsi="Calibri" w:cs="Calibri"/>
          <w:sz w:val="22"/>
          <w:szCs w:val="22"/>
        </w:rPr>
        <w:t>that you understand the following concepts prior to taking the exam:</w:t>
      </w:r>
    </w:p>
    <w:p w:rsidR="008345FF" w:rsidRDefault="008345FF">
      <w:pPr>
        <w:spacing w:before="3" w:line="200" w:lineRule="exact"/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•Security architecture principles and frameworks (i.e. SABSA, </w:t>
      </w:r>
      <w:proofErr w:type="spellStart"/>
      <w:r>
        <w:rPr>
          <w:rFonts w:ascii="Calibri" w:eastAsia="Calibri" w:hAnsi="Calibri" w:cs="Calibri"/>
          <w:sz w:val="22"/>
          <w:szCs w:val="22"/>
        </w:rPr>
        <w:t>Zachman</w:t>
      </w:r>
      <w:proofErr w:type="spellEnd"/>
      <w:r>
        <w:rPr>
          <w:rFonts w:ascii="Calibri" w:eastAsia="Calibri" w:hAnsi="Calibri" w:cs="Calibri"/>
          <w:sz w:val="22"/>
          <w:szCs w:val="22"/>
        </w:rPr>
        <w:t>, TOGAF, etc.)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•OSI model</w:t>
      </w:r>
    </w:p>
    <w:p w:rsidR="008345FF" w:rsidRDefault="008345FF">
      <w:pPr>
        <w:spacing w:before="9" w:line="140" w:lineRule="exact"/>
        <w:rPr>
          <w:sz w:val="15"/>
          <w:szCs w:val="15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•TCP/IP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•General firewall features, types, issues, and platforms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  <w:sectPr w:rsidR="008345FF">
          <w:headerReference w:type="default" r:id="rId8"/>
          <w:footerReference w:type="default" r:id="rId9"/>
          <w:pgSz w:w="12240" w:h="15840"/>
          <w:pgMar w:top="1820" w:right="1340" w:bottom="280" w:left="1320" w:header="720" w:footer="1017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•Networking (i.e. ports, protocols, VPNs, etc.)</w:t>
      </w:r>
    </w:p>
    <w:p w:rsidR="008345FF" w:rsidRDefault="008345FF">
      <w:pPr>
        <w:spacing w:before="9" w:line="240" w:lineRule="exact"/>
        <w:rPr>
          <w:sz w:val="24"/>
          <w:szCs w:val="24"/>
        </w:rPr>
      </w:pPr>
    </w:p>
    <w:p w:rsidR="008345FF" w:rsidRDefault="004D2507">
      <w:pPr>
        <w:spacing w:before="12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•Application security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•Risk assessments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•Business continuity plans (BCP)</w:t>
      </w:r>
    </w:p>
    <w:p w:rsidR="008345FF" w:rsidRDefault="008345FF">
      <w:pPr>
        <w:spacing w:before="9" w:line="140" w:lineRule="exact"/>
        <w:rPr>
          <w:sz w:val="15"/>
          <w:szCs w:val="15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•BYOD</w:t>
      </w:r>
    </w:p>
    <w:p w:rsidR="008345FF" w:rsidRDefault="008345FF">
      <w:pPr>
        <w:spacing w:before="4" w:line="160" w:lineRule="exact"/>
        <w:rPr>
          <w:sz w:val="16"/>
          <w:szCs w:val="16"/>
        </w:rPr>
      </w:pPr>
    </w:p>
    <w:p w:rsidR="008345FF" w:rsidRDefault="004D2507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Target Audience</w:t>
      </w:r>
    </w:p>
    <w:p w:rsidR="008345FF" w:rsidRDefault="008345FF">
      <w:pPr>
        <w:spacing w:before="2" w:line="240" w:lineRule="exact"/>
        <w:rPr>
          <w:sz w:val="24"/>
          <w:szCs w:val="24"/>
        </w:rPr>
      </w:pPr>
    </w:p>
    <w:p w:rsidR="008345FF" w:rsidRDefault="004D250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 xml:space="preserve">Zero to three years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experience</w:t>
      </w:r>
    </w:p>
    <w:p w:rsidR="008345FF" w:rsidRDefault="004D2507">
      <w:pPr>
        <w:spacing w:before="45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Audit, risk, compliance, information security, government and legal professionals with a</w:t>
      </w:r>
    </w:p>
    <w:p w:rsidR="008345FF" w:rsidRDefault="004D2507">
      <w:pPr>
        <w:spacing w:before="38"/>
        <w:ind w:left="799" w:right="5254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familiarity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of basic IT/IS concepts who:</w:t>
      </w:r>
    </w:p>
    <w:p w:rsidR="008345FF" w:rsidRDefault="004D2507">
      <w:pPr>
        <w:spacing w:before="41"/>
        <w:ind w:left="12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 xml:space="preserve">o  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new to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</w:p>
    <w:p w:rsidR="008345FF" w:rsidRDefault="004D2507">
      <w:pPr>
        <w:spacing w:before="30"/>
        <w:ind w:left="120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 xml:space="preserve">o  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interested in entering the field of </w:t>
      </w:r>
      <w:proofErr w:type="spellStart"/>
      <w:r>
        <w:rPr>
          <w:rFonts w:ascii="Calibri" w:eastAsia="Calibri" w:hAnsi="Calibri" w:cs="Calibri"/>
          <w:sz w:val="22"/>
          <w:szCs w:val="22"/>
        </w:rPr>
        <w:t>cybers</w:t>
      </w:r>
      <w:r>
        <w:rPr>
          <w:rFonts w:ascii="Calibri" w:eastAsia="Calibri" w:hAnsi="Calibri" w:cs="Calibri"/>
          <w:sz w:val="22"/>
          <w:szCs w:val="22"/>
        </w:rPr>
        <w:t>ecurity</w:t>
      </w:r>
      <w:proofErr w:type="spellEnd"/>
    </w:p>
    <w:p w:rsidR="008345FF" w:rsidRDefault="004D2507">
      <w:pPr>
        <w:spacing w:before="27"/>
        <w:ind w:left="120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 xml:space="preserve">o  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interested in the ISACA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Fundamentals Certificate</w:t>
      </w:r>
    </w:p>
    <w:p w:rsidR="008345FF" w:rsidRDefault="004D2507">
      <w:pPr>
        <w:spacing w:before="34"/>
        <w:ind w:left="48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Students and recent grads</w:t>
      </w:r>
    </w:p>
    <w:p w:rsidR="008345FF" w:rsidRDefault="008345FF">
      <w:pPr>
        <w:spacing w:line="240" w:lineRule="exact"/>
        <w:rPr>
          <w:sz w:val="24"/>
          <w:szCs w:val="24"/>
        </w:rPr>
      </w:pPr>
    </w:p>
    <w:p w:rsidR="008345FF" w:rsidRDefault="004D2507">
      <w:pPr>
        <w:ind w:left="1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Course Outline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4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Introduction to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</w:p>
    <w:p w:rsidR="008345FF" w:rsidRDefault="008345FF">
      <w:pPr>
        <w:spacing w:before="9" w:line="140" w:lineRule="exact"/>
        <w:rPr>
          <w:sz w:val="15"/>
          <w:szCs w:val="15"/>
        </w:rPr>
      </w:pPr>
    </w:p>
    <w:p w:rsidR="008345FF" w:rsidRDefault="004D2507">
      <w:pPr>
        <w:spacing w:line="384" w:lineRule="auto"/>
        <w:ind w:left="1201" w:right="57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objectives b.   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roles</w:t>
      </w:r>
    </w:p>
    <w:p w:rsidR="008345FF" w:rsidRDefault="004D2507">
      <w:pPr>
        <w:spacing w:before="29"/>
        <w:ind w:left="12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   Differences between Information Security &amp;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</w:p>
    <w:p w:rsidR="008345FF" w:rsidRDefault="008345FF">
      <w:pPr>
        <w:spacing w:before="9" w:line="140" w:lineRule="exact"/>
        <w:rPr>
          <w:sz w:val="15"/>
          <w:szCs w:val="15"/>
        </w:rPr>
      </w:pPr>
    </w:p>
    <w:p w:rsidR="008345FF" w:rsidRDefault="004D2507">
      <w:pPr>
        <w:ind w:left="4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</w:t>
      </w:r>
      <w:proofErr w:type="spellStart"/>
      <w:r>
        <w:rPr>
          <w:rFonts w:ascii="Calibri" w:eastAsia="Calibri" w:hAnsi="Calibri" w:cs="Calibri"/>
          <w:sz w:val="22"/>
          <w:szCs w:val="22"/>
        </w:rPr>
        <w:t>Cybersecurity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Principles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spacing w:line="384" w:lineRule="auto"/>
        <w:ind w:left="1201" w:right="454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Confidentiality, integrity, &amp; availability b.    Authentication &amp; nonrepudiation</w:t>
      </w:r>
    </w:p>
    <w:p w:rsidR="008345FF" w:rsidRDefault="004D2507">
      <w:pPr>
        <w:spacing w:before="26" w:line="384" w:lineRule="auto"/>
        <w:ind w:left="1201" w:right="384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   Information Security (IS) within Lifecycle Management a.    Lifecyc</w:t>
      </w:r>
      <w:r>
        <w:rPr>
          <w:rFonts w:ascii="Calibri" w:eastAsia="Calibri" w:hAnsi="Calibri" w:cs="Calibri"/>
          <w:sz w:val="22"/>
          <w:szCs w:val="22"/>
        </w:rPr>
        <w:t>le management landscape</w:t>
      </w:r>
    </w:p>
    <w:p w:rsidR="008345FF" w:rsidRDefault="004D2507">
      <w:pPr>
        <w:spacing w:before="29" w:line="381" w:lineRule="auto"/>
        <w:ind w:left="1201" w:right="51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    Security architecture processes c.    Security architecture tools</w:t>
      </w:r>
    </w:p>
    <w:p w:rsidR="008345FF" w:rsidRDefault="004D2507">
      <w:pPr>
        <w:spacing w:before="31"/>
        <w:ind w:left="12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d.    Intermediate lifecycle management concepts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ind w:left="4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   Risks &amp; Vulnerabilities</w:t>
      </w:r>
    </w:p>
    <w:p w:rsidR="008345FF" w:rsidRDefault="008345FF">
      <w:pPr>
        <w:spacing w:before="9" w:line="140" w:lineRule="exact"/>
        <w:rPr>
          <w:sz w:val="15"/>
          <w:szCs w:val="15"/>
        </w:rPr>
      </w:pPr>
    </w:p>
    <w:p w:rsidR="008345FF" w:rsidRDefault="004D2507">
      <w:pPr>
        <w:ind w:left="12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    Basics of risk management</w:t>
      </w:r>
    </w:p>
    <w:p w:rsidR="008345FF" w:rsidRDefault="008345FF">
      <w:pPr>
        <w:spacing w:before="1" w:line="160" w:lineRule="exact"/>
        <w:rPr>
          <w:sz w:val="16"/>
          <w:szCs w:val="16"/>
        </w:rPr>
      </w:pPr>
    </w:p>
    <w:p w:rsidR="008345FF" w:rsidRDefault="004D2507">
      <w:pPr>
        <w:tabs>
          <w:tab w:val="left" w:pos="1560"/>
        </w:tabs>
        <w:spacing w:line="384" w:lineRule="auto"/>
        <w:ind w:left="1202" w:right="50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    Operational threat environments c.</w:t>
      </w:r>
      <w:r>
        <w:rPr>
          <w:rFonts w:ascii="Calibri" w:eastAsia="Calibri" w:hAnsi="Calibri" w:cs="Calibri"/>
          <w:sz w:val="22"/>
          <w:szCs w:val="22"/>
        </w:rPr>
        <w:tab/>
        <w:t>Class</w:t>
      </w:r>
      <w:r>
        <w:rPr>
          <w:rFonts w:ascii="Calibri" w:eastAsia="Calibri" w:hAnsi="Calibri" w:cs="Calibri"/>
          <w:sz w:val="22"/>
          <w:szCs w:val="22"/>
        </w:rPr>
        <w:t>es of attacks</w:t>
      </w:r>
    </w:p>
    <w:p w:rsidR="008345FF" w:rsidRDefault="004D2507">
      <w:pPr>
        <w:spacing w:before="26"/>
        <w:ind w:left="482"/>
        <w:rPr>
          <w:rFonts w:ascii="Calibri" w:eastAsia="Calibri" w:hAnsi="Calibri" w:cs="Calibri"/>
          <w:sz w:val="22"/>
          <w:szCs w:val="22"/>
        </w:rPr>
        <w:sectPr w:rsidR="008345FF">
          <w:pgSz w:w="12240" w:h="15840"/>
          <w:pgMar w:top="1820" w:right="1340" w:bottom="280" w:left="1320" w:header="720" w:footer="1017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5.    Incident Response</w:t>
      </w:r>
    </w:p>
    <w:p w:rsidR="008345FF" w:rsidRDefault="008345FF">
      <w:pPr>
        <w:spacing w:before="9" w:line="240" w:lineRule="exact"/>
        <w:rPr>
          <w:sz w:val="24"/>
          <w:szCs w:val="24"/>
        </w:rPr>
      </w:pPr>
    </w:p>
    <w:p w:rsidR="008345FF" w:rsidRDefault="004D2507">
      <w:pPr>
        <w:spacing w:before="12" w:line="384" w:lineRule="auto"/>
        <w:ind w:left="1180" w:right="6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   Incident categories b.    </w:t>
      </w:r>
      <w:proofErr w:type="gramStart"/>
      <w:r>
        <w:rPr>
          <w:rFonts w:ascii="Calibri" w:eastAsia="Calibri" w:hAnsi="Calibri" w:cs="Calibri"/>
          <w:sz w:val="22"/>
          <w:szCs w:val="22"/>
        </w:rPr>
        <w:t>Incident response c.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Incident recovery</w:t>
      </w:r>
    </w:p>
    <w:p w:rsidR="008345FF" w:rsidRDefault="004D2507">
      <w:pPr>
        <w:spacing w:before="26" w:line="384" w:lineRule="auto"/>
        <w:ind w:left="1180" w:right="4665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   Future Implications &amp; Evolving Technologies a.    New &amp; emerging IT &amp; IS technologies</w:t>
      </w:r>
    </w:p>
    <w:p w:rsidR="008345FF" w:rsidRDefault="004D2507">
      <w:pPr>
        <w:tabs>
          <w:tab w:val="left" w:pos="1540"/>
        </w:tabs>
        <w:spacing w:before="29" w:line="381" w:lineRule="auto"/>
        <w:ind w:left="1180" w:right="394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    Mobile security issues, risks, &amp;</w:t>
      </w:r>
      <w:r>
        <w:rPr>
          <w:rFonts w:ascii="Calibri" w:eastAsia="Calibri" w:hAnsi="Calibri" w:cs="Calibri"/>
          <w:sz w:val="22"/>
          <w:szCs w:val="22"/>
        </w:rPr>
        <w:t xml:space="preserve"> vulnerabilities c.</w:t>
      </w:r>
      <w:r>
        <w:rPr>
          <w:rFonts w:ascii="Calibri" w:eastAsia="Calibri" w:hAnsi="Calibri" w:cs="Calibri"/>
          <w:sz w:val="22"/>
          <w:szCs w:val="22"/>
        </w:rPr>
        <w:tab/>
        <w:t>Cloud concepts around data &amp; collaboration</w:t>
      </w:r>
    </w:p>
    <w:sectPr w:rsidR="008345FF">
      <w:pgSz w:w="12240" w:h="15840"/>
      <w:pgMar w:top="1820" w:right="1340" w:bottom="280" w:left="1340" w:header="72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000000" w:rsidRDefault="004D2507">
      <w:r>
        <w:separator/>
      </w:r>
    </w:p>
  </w:endnote>
  <w:endnote w:type="continuationSeparator" w:id="0">
    <w:p w:rsidR="00000000" w:rsidRDefault="004D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FF" w:rsidRDefault="008345FF">
    <w:pPr>
      <w:spacing w:line="20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000000" w:rsidRDefault="004D2507">
      <w:r>
        <w:separator/>
      </w:r>
    </w:p>
  </w:footnote>
  <w:footnote w:type="continuationSeparator" w:id="0">
    <w:p w:rsidR="00000000" w:rsidRDefault="004D25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FF" w:rsidRDefault="008345FF">
    <w:pPr>
      <w:spacing w:line="20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53B0D63"/>
    <w:multiLevelType w:val="multilevel"/>
    <w:tmpl w:val="7996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45FF"/>
    <w:rsid w:val="004D2507"/>
    <w:rsid w:val="008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07"/>
  </w:style>
  <w:style w:type="paragraph" w:styleId="Footer">
    <w:name w:val="footer"/>
    <w:basedOn w:val="Normal"/>
    <w:link w:val="Foot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07"/>
  </w:style>
  <w:style w:type="paragraph" w:styleId="Footer">
    <w:name w:val="footer"/>
    <w:basedOn w:val="Normal"/>
    <w:link w:val="FooterChar"/>
    <w:uiPriority w:val="99"/>
    <w:unhideWhenUsed/>
    <w:rsid w:val="004D2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2796</Characters>
  <Application>Microsoft Macintosh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Ramanuj Prasad Singh</cp:lastModifiedBy>
  <cp:revision>2</cp:revision>
  <dcterms:created xsi:type="dcterms:W3CDTF">2019-05-08T08:07:00Z</dcterms:created>
  <dcterms:modified xsi:type="dcterms:W3CDTF">2019-05-08T08:07:00Z</dcterms:modified>
</cp:coreProperties>
</file>